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ajan Pro" w:cs="Trajan Pro" w:eastAsia="Trajan Pro" w:hAnsi="Trajan Pro"/>
          <w:b w:val="0"/>
          <w:color w:val="206220"/>
          <w:sz w:val="28"/>
          <w:szCs w:val="28"/>
          <w:vertAlign w:val="baseline"/>
        </w:rPr>
      </w:pPr>
      <w:bookmarkStart w:colFirst="0" w:colLast="0" w:name="_heading=h.gjdgxs" w:id="0"/>
      <w:bookmarkEnd w:id="0"/>
      <w:r w:rsidDel="00000000" w:rsidR="00000000" w:rsidRPr="00000000">
        <w:rPr>
          <w:rFonts w:ascii="Trajan Pro" w:cs="Trajan Pro" w:eastAsia="Trajan Pro" w:hAnsi="Trajan Pro"/>
          <w:b w:val="1"/>
          <w:color w:val="206220"/>
          <w:sz w:val="28"/>
          <w:szCs w:val="28"/>
          <w:vertAlign w:val="baseline"/>
          <w:rtl w:val="0"/>
        </w:rPr>
        <w:t xml:space="preserve">Iona School for Ministry</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670560</wp:posOffset>
            </wp:positionH>
            <wp:positionV relativeFrom="paragraph">
              <wp:posOffset>68580</wp:posOffset>
            </wp:positionV>
            <wp:extent cx="780415" cy="75628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0415" cy="75628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5638800</wp:posOffset>
                </wp:positionH>
                <wp:positionV relativeFrom="paragraph">
                  <wp:posOffset>-292099</wp:posOffset>
                </wp:positionV>
                <wp:extent cx="581025" cy="319405"/>
                <wp:effectExtent b="0" l="0" r="0" t="0"/>
                <wp:wrapNone/>
                <wp:docPr id="1" name=""/>
                <a:graphic>
                  <a:graphicData uri="http://schemas.microsoft.com/office/word/2010/wordprocessingShape">
                    <wps:wsp>
                      <wps:cNvSpPr/>
                      <wps:cNvPr id="2" name="Shape 2"/>
                      <wps:spPr>
                        <a:xfrm>
                          <a:off x="5060250" y="3625060"/>
                          <a:ext cx="571500" cy="30988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48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a6a6a6"/>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5638800</wp:posOffset>
                </wp:positionH>
                <wp:positionV relativeFrom="paragraph">
                  <wp:posOffset>-292099</wp:posOffset>
                </wp:positionV>
                <wp:extent cx="581025" cy="31940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1025" cy="319405"/>
                        </a:xfrm>
                        <a:prstGeom prst="rect"/>
                        <a:ln/>
                      </pic:spPr>
                    </pic:pic>
                  </a:graphicData>
                </a:graphic>
              </wp:anchor>
            </w:drawing>
          </mc:Fallback>
        </mc:AlternateContent>
      </w:r>
    </w:p>
    <w:p w:rsidR="00000000" w:rsidDel="00000000" w:rsidP="00000000" w:rsidRDefault="00000000" w:rsidRPr="00000000" w14:paraId="00000002">
      <w:pPr>
        <w:spacing w:before="6" w:lineRule="auto"/>
        <w:jc w:val="center"/>
        <w:rPr>
          <w:rFonts w:ascii="Arial" w:cs="Arial" w:eastAsia="Arial" w:hAnsi="Arial"/>
          <w:b w:val="0"/>
          <w:color w:val="242828"/>
          <w:vertAlign w:val="baseline"/>
        </w:rPr>
      </w:pPr>
      <w:r w:rsidDel="00000000" w:rsidR="00000000" w:rsidRPr="00000000">
        <w:rPr>
          <w:rtl w:val="0"/>
        </w:rPr>
      </w:r>
    </w:p>
    <w:p w:rsidR="00000000" w:rsidDel="00000000" w:rsidP="00000000" w:rsidRDefault="00000000" w:rsidRPr="00000000" w14:paraId="00000003">
      <w:pPr>
        <w:tabs>
          <w:tab w:val="left" w:pos="1665"/>
          <w:tab w:val="center" w:pos="4680"/>
        </w:tabs>
        <w:spacing w:before="6" w:lineRule="auto"/>
        <w:rPr>
          <w:rFonts w:ascii="Arial" w:cs="Arial" w:eastAsia="Arial" w:hAnsi="Arial"/>
          <w:b w:val="0"/>
          <w:vertAlign w:val="baseline"/>
        </w:rPr>
      </w:pPr>
      <w:r w:rsidDel="00000000" w:rsidR="00000000" w:rsidRPr="00000000">
        <w:rPr>
          <w:rFonts w:ascii="Arial" w:cs="Arial" w:eastAsia="Arial" w:hAnsi="Arial"/>
          <w:b w:val="1"/>
          <w:color w:val="242828"/>
          <w:vertAlign w:val="baseline"/>
          <w:rtl w:val="0"/>
        </w:rPr>
        <w:tab/>
        <w:tab/>
        <w:t xml:space="preserve">      </w:t>
      </w:r>
      <w:r w:rsidDel="00000000" w:rsidR="00000000" w:rsidRPr="00000000">
        <w:rPr>
          <w:rFonts w:ascii="Arial" w:cs="Arial" w:eastAsia="Arial" w:hAnsi="Arial"/>
          <w:b w:val="1"/>
          <w:vertAlign w:val="baseline"/>
          <w:rtl w:val="0"/>
        </w:rPr>
        <w:t xml:space="preserve">The Diaconate: History &amp; Theology</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vertAlign w:val="baseline"/>
        </w:rPr>
      </w:pPr>
      <w:r w:rsidDel="00000000" w:rsidR="00000000" w:rsidRPr="00000000">
        <w:rPr>
          <w:rFonts w:ascii="Arial" w:cs="Arial" w:eastAsia="Arial" w:hAnsi="Arial"/>
          <w:b w:val="1"/>
          <w:rtl w:val="0"/>
        </w:rPr>
        <w:t xml:space="preserve">Middler Year</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Deacon</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January 9</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vertAlign w:val="baseline"/>
          <w:rtl w:val="0"/>
        </w:rPr>
        <w:t xml:space="preserve"> &amp; February 13</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vertAlign w:val="baseline"/>
          <w:rtl w:val="0"/>
        </w:rPr>
        <w:t xml:space="preserve"> 2022</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The Rev. Greg Buffone, Ph.D.</w:t>
      </w:r>
      <w:r w:rsidDel="00000000" w:rsidR="00000000" w:rsidRPr="00000000">
        <w:rPr>
          <w:rtl w:val="0"/>
        </w:rPr>
      </w:r>
    </w:p>
    <w:p w:rsidR="00000000" w:rsidDel="00000000" w:rsidP="00000000" w:rsidRDefault="00000000" w:rsidRPr="00000000" w14:paraId="0000000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8">
      <w:pPr>
        <w:ind w:left="144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Class Description</w:t>
      </w:r>
      <w:r w:rsidDel="00000000" w:rsidR="00000000" w:rsidRPr="00000000">
        <w:rPr>
          <w:rtl w:val="0"/>
        </w:rPr>
      </w:r>
    </w:p>
    <w:p w:rsidR="00000000" w:rsidDel="00000000" w:rsidP="00000000" w:rsidRDefault="00000000" w:rsidRPr="00000000" w14:paraId="0000000A">
      <w:pPr>
        <w:numPr>
          <w:ilvl w:val="0"/>
          <w:numId w:val="1"/>
        </w:numPr>
        <w:ind w:left="720" w:hanging="360"/>
        <w:rPr>
          <w:vertAlign w:val="baseline"/>
        </w:rPr>
      </w:pPr>
      <w:r w:rsidDel="00000000" w:rsidR="00000000" w:rsidRPr="00000000">
        <w:rPr>
          <w:rFonts w:ascii="Calibri" w:cs="Calibri" w:eastAsia="Calibri" w:hAnsi="Calibri"/>
          <w:color w:val="000000"/>
          <w:vertAlign w:val="baseline"/>
          <w:rtl w:val="0"/>
        </w:rPr>
        <w:t xml:space="preserve">Examination of the origin of ordered ministry in the church using Biblical and extra-Biblical sources to provide background for the role and function of a deacon during the first century; use of </w:t>
      </w:r>
      <w:r w:rsidDel="00000000" w:rsidR="00000000" w:rsidRPr="00000000">
        <w:rPr>
          <w:rFonts w:ascii="Calibri" w:cs="Calibri" w:eastAsia="Calibri" w:hAnsi="Calibri"/>
          <w:i w:val="1"/>
          <w:color w:val="000000"/>
          <w:vertAlign w:val="baseline"/>
          <w:rtl w:val="0"/>
        </w:rPr>
        <w:t xml:space="preserve">diakon- </w:t>
      </w:r>
      <w:r w:rsidDel="00000000" w:rsidR="00000000" w:rsidRPr="00000000">
        <w:rPr>
          <w:rFonts w:ascii="Calibri" w:cs="Calibri" w:eastAsia="Calibri" w:hAnsi="Calibri"/>
          <w:color w:val="000000"/>
          <w:vertAlign w:val="baseline"/>
          <w:rtl w:val="0"/>
        </w:rPr>
        <w:t xml:space="preserve">in the NT is also reviewed.  </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numPr>
          <w:ilvl w:val="0"/>
          <w:numId w:val="1"/>
        </w:numPr>
        <w:ind w:left="720" w:hanging="360"/>
        <w:rPr>
          <w:vertAlign w:val="baseline"/>
        </w:rPr>
      </w:pPr>
      <w:r w:rsidDel="00000000" w:rsidR="00000000" w:rsidRPr="00000000">
        <w:rPr>
          <w:rFonts w:ascii="Calibri" w:cs="Calibri" w:eastAsia="Calibri" w:hAnsi="Calibri"/>
          <w:color w:val="000000"/>
          <w:vertAlign w:val="baseline"/>
          <w:rtl w:val="0"/>
        </w:rPr>
        <w:t xml:space="preserve">Historical documents from the first and second century are used to highlight the evolution of the office of deacon from the 2</w:t>
      </w:r>
      <w:r w:rsidDel="00000000" w:rsidR="00000000" w:rsidRPr="00000000">
        <w:rPr>
          <w:rFonts w:ascii="Calibri" w:cs="Calibri" w:eastAsia="Calibri" w:hAnsi="Calibri"/>
          <w:color w:val="000000"/>
          <w:sz w:val="14"/>
          <w:szCs w:val="14"/>
          <w:vertAlign w:val="superscript"/>
          <w:rtl w:val="0"/>
        </w:rPr>
        <w:t xml:space="preserve">nd</w:t>
      </w:r>
      <w:r w:rsidDel="00000000" w:rsidR="00000000" w:rsidRPr="00000000">
        <w:rPr>
          <w:rFonts w:ascii="Calibri" w:cs="Calibri" w:eastAsia="Calibri" w:hAnsi="Calibri"/>
          <w:color w:val="000000"/>
          <w:vertAlign w:val="baseline"/>
          <w:rtl w:val="0"/>
        </w:rPr>
        <w:t xml:space="preserve"> through the 4</w:t>
      </w:r>
      <w:r w:rsidDel="00000000" w:rsidR="00000000" w:rsidRPr="00000000">
        <w:rPr>
          <w:rFonts w:ascii="Calibri" w:cs="Calibri" w:eastAsia="Calibri" w:hAnsi="Calibri"/>
          <w:color w:val="000000"/>
          <w:sz w:val="14"/>
          <w:szCs w:val="14"/>
          <w:vertAlign w:val="superscript"/>
          <w:rtl w:val="0"/>
        </w:rPr>
        <w:t xml:space="preserve">th</w:t>
      </w:r>
      <w:r w:rsidDel="00000000" w:rsidR="00000000" w:rsidRPr="00000000">
        <w:rPr>
          <w:rFonts w:ascii="Calibri" w:cs="Calibri" w:eastAsia="Calibri" w:hAnsi="Calibri"/>
          <w:color w:val="000000"/>
          <w:vertAlign w:val="baseline"/>
          <w:rtl w:val="0"/>
        </w:rPr>
        <w:t xml:space="preserve"> century.  A high-level overview of salient events relevant to the diaconate is provided up through the 20</w:t>
      </w:r>
      <w:r w:rsidDel="00000000" w:rsidR="00000000" w:rsidRPr="00000000">
        <w:rPr>
          <w:rFonts w:ascii="Calibri" w:cs="Calibri" w:eastAsia="Calibri" w:hAnsi="Calibri"/>
          <w:color w:val="000000"/>
          <w:sz w:val="14"/>
          <w:szCs w:val="14"/>
          <w:vertAlign w:val="superscript"/>
          <w:rtl w:val="0"/>
        </w:rPr>
        <w:t xml:space="preserve">th</w:t>
      </w:r>
      <w:r w:rsidDel="00000000" w:rsidR="00000000" w:rsidRPr="00000000">
        <w:rPr>
          <w:rFonts w:ascii="Calibri" w:cs="Calibri" w:eastAsia="Calibri" w:hAnsi="Calibri"/>
          <w:color w:val="000000"/>
          <w:vertAlign w:val="baseline"/>
          <w:rtl w:val="0"/>
        </w:rPr>
        <w:t xml:space="preserve"> century is also provided.</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numPr>
          <w:ilvl w:val="0"/>
          <w:numId w:val="1"/>
        </w:numPr>
        <w:ind w:left="720" w:hanging="360"/>
        <w:rPr>
          <w:vertAlign w:val="baseline"/>
        </w:rPr>
      </w:pPr>
      <w:r w:rsidDel="00000000" w:rsidR="00000000" w:rsidRPr="00000000">
        <w:rPr>
          <w:rFonts w:ascii="Calibri" w:cs="Calibri" w:eastAsia="Calibri" w:hAnsi="Calibri"/>
          <w:color w:val="000000"/>
          <w:vertAlign w:val="baseline"/>
          <w:rtl w:val="0"/>
        </w:rPr>
        <w:t xml:space="preserve">Fundamental questions of why the diaconate is properly an ordained ministry and the sacramental theology that underpins the diaconal identity are reviewed. The distinction between offices in the church and lay ecclesial ministers is also considered. </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numPr>
          <w:ilvl w:val="0"/>
          <w:numId w:val="1"/>
        </w:numPr>
        <w:ind w:left="720" w:hanging="360"/>
        <w:rPr>
          <w:vertAlign w:val="baseline"/>
        </w:rPr>
      </w:pPr>
      <w:r w:rsidDel="00000000" w:rsidR="00000000" w:rsidRPr="00000000">
        <w:rPr>
          <w:rFonts w:ascii="Calibri" w:cs="Calibri" w:eastAsia="Calibri" w:hAnsi="Calibri"/>
          <w:color w:val="000000"/>
          <w:vertAlign w:val="baseline"/>
          <w:rtl w:val="0"/>
        </w:rPr>
        <w:t xml:space="preserve">A brief review of the role of the deacon in church liturgy is provided.</w:t>
      </w:r>
      <w:r w:rsidDel="00000000" w:rsidR="00000000" w:rsidRPr="00000000">
        <w:rPr>
          <w:rtl w:val="0"/>
        </w:rPr>
      </w:r>
    </w:p>
    <w:p w:rsidR="00000000" w:rsidDel="00000000" w:rsidP="00000000" w:rsidRDefault="00000000" w:rsidRPr="00000000" w14:paraId="0000001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Class Objectives</w:t>
      </w: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In (or after taking) this class, students will:</w:t>
      </w:r>
    </w:p>
    <w:p w:rsidR="00000000" w:rsidDel="00000000" w:rsidP="00000000" w:rsidRDefault="00000000" w:rsidRPr="00000000" w14:paraId="00000015">
      <w:pPr>
        <w:numPr>
          <w:ilvl w:val="0"/>
          <w:numId w:val="2"/>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Gain an understanding of the evolution of the diaconal office from the 1</w:t>
      </w:r>
      <w:r w:rsidDel="00000000" w:rsidR="00000000" w:rsidRPr="00000000">
        <w:rPr>
          <w:rFonts w:ascii="Calibri" w:cs="Calibri" w:eastAsia="Calibri" w:hAnsi="Calibri"/>
          <w:color w:val="000000"/>
          <w:vertAlign w:val="superscript"/>
          <w:rtl w:val="0"/>
        </w:rPr>
        <w:t xml:space="preserve">st</w:t>
      </w:r>
      <w:r w:rsidDel="00000000" w:rsidR="00000000" w:rsidRPr="00000000">
        <w:rPr>
          <w:rFonts w:ascii="Calibri" w:cs="Calibri" w:eastAsia="Calibri" w:hAnsi="Calibri"/>
          <w:color w:val="000000"/>
          <w:vertAlign w:val="baseline"/>
          <w:rtl w:val="0"/>
        </w:rPr>
        <w:t xml:space="preserve"> through the 20</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vertAlign w:val="baseline"/>
          <w:rtl w:val="0"/>
        </w:rPr>
        <w:t xml:space="preserve"> century</w:t>
      </w:r>
    </w:p>
    <w:p w:rsidR="00000000" w:rsidDel="00000000" w:rsidP="00000000" w:rsidRDefault="00000000" w:rsidRPr="00000000" w14:paraId="00000016">
      <w:pPr>
        <w:numPr>
          <w:ilvl w:val="0"/>
          <w:numId w:val="2"/>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Appreciate why the role of deacon is properly an ordained order</w:t>
      </w:r>
    </w:p>
    <w:p w:rsidR="00000000" w:rsidDel="00000000" w:rsidP="00000000" w:rsidRDefault="00000000" w:rsidRPr="00000000" w14:paraId="00000017">
      <w:pPr>
        <w:numPr>
          <w:ilvl w:val="0"/>
          <w:numId w:val="2"/>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Understand the distinction of the office of deacon relative to priest and bishop, as well as lay ecclesial ministers</w:t>
      </w:r>
    </w:p>
    <w:p w:rsidR="00000000" w:rsidDel="00000000" w:rsidP="00000000" w:rsidRDefault="00000000" w:rsidRPr="00000000" w14:paraId="00000018">
      <w:pPr>
        <w:numPr>
          <w:ilvl w:val="0"/>
          <w:numId w:val="2"/>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Acquire a general understanding of the role of the deacon in the primary liturgies of the church</w:t>
      </w:r>
    </w:p>
    <w:p w:rsidR="00000000" w:rsidDel="00000000" w:rsidP="00000000" w:rsidRDefault="00000000" w:rsidRPr="00000000" w14:paraId="0000001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A">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B">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Class Schedule</w:t>
      </w:r>
      <w:r w:rsidDel="00000000" w:rsidR="00000000" w:rsidRPr="00000000">
        <w:rPr>
          <w:rtl w:val="0"/>
        </w:rPr>
      </w:r>
    </w:p>
    <w:p w:rsidR="00000000" w:rsidDel="00000000" w:rsidP="00000000" w:rsidRDefault="00000000" w:rsidRPr="00000000" w14:paraId="0000001C">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rtl w:val="0"/>
        </w:rPr>
        <w:t xml:space="preserve">October 9, 2022 </w:t>
        <w:tab/>
        <w:tab/>
      </w:r>
      <w:r w:rsidDel="00000000" w:rsidR="00000000" w:rsidRPr="00000000">
        <w:rPr>
          <w:rFonts w:ascii="Arial" w:cs="Arial" w:eastAsia="Arial" w:hAnsi="Arial"/>
          <w:vertAlign w:val="baseline"/>
          <w:rtl w:val="0"/>
        </w:rPr>
        <w:t xml:space="preserve">Session 1. History</w:t>
      </w:r>
    </w:p>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rtl w:val="0"/>
        </w:rPr>
        <w:t xml:space="preserve">February 18, 2023 </w:t>
        <w:tab/>
        <w:tab/>
      </w:r>
      <w:r w:rsidDel="00000000" w:rsidR="00000000" w:rsidRPr="00000000">
        <w:rPr>
          <w:rFonts w:ascii="Arial" w:cs="Arial" w:eastAsia="Arial" w:hAnsi="Arial"/>
          <w:vertAlign w:val="baseline"/>
          <w:rtl w:val="0"/>
        </w:rPr>
        <w:t xml:space="preserve">Session 2. Theology &amp; Liturgy</w:t>
      </w:r>
    </w:p>
    <w:p w:rsidR="00000000" w:rsidDel="00000000" w:rsidP="00000000" w:rsidRDefault="00000000" w:rsidRPr="00000000" w14:paraId="0000001F">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Suggested Resources</w:t>
      </w:r>
      <w:r w:rsidDel="00000000" w:rsidR="00000000" w:rsidRPr="00000000">
        <w:rPr>
          <w:rtl w:val="0"/>
        </w:rPr>
      </w:r>
    </w:p>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Handouts</w:t>
      </w:r>
    </w:p>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Outline formatted as slides and notes covering Sessions 1 &amp; 2</w:t>
      </w:r>
    </w:p>
    <w:p w:rsidR="00000000" w:rsidDel="00000000" w:rsidP="00000000" w:rsidRDefault="00000000" w:rsidRPr="00000000" w14:paraId="00000024">
      <w:pPr>
        <w:rPr>
          <w:rFonts w:ascii="Arial" w:cs="Arial" w:eastAsia="Arial" w:hAnsi="Arial"/>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Trajan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A">
    <w:pPr>
      <w:tabs>
        <w:tab w:val="center" w:pos="4320"/>
        <w:tab w:val="right" w:pos="8640"/>
      </w:tabs>
      <w:jc w:val="right"/>
      <w:rPr>
        <w:i w:val="0"/>
        <w:color w:val="c0c0c0"/>
        <w:sz w:val="18"/>
        <w:szCs w:val="18"/>
        <w:vertAlign w:val="baseline"/>
      </w:rPr>
    </w:pPr>
    <w:r w:rsidDel="00000000" w:rsidR="00000000" w:rsidRPr="00000000">
      <w:rPr>
        <w:i w:val="1"/>
        <w:color w:val="c0c0c0"/>
        <w:sz w:val="18"/>
        <w:szCs w:val="18"/>
        <w:vertAlign w:val="baseline"/>
        <w:rtl w:val="0"/>
      </w:rPr>
      <w:t xml:space="preserve">Church in the Modern World: Ecumenism and Interreligious Relations — MLD —2020</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widowControl w:val="0"/>
      <w:suppressAutoHyphens w:val="1"/>
      <w:overflowPunct w:val="0"/>
      <w:adjustRightInd w:val="0"/>
      <w:spacing w:after="240" w:line="275" w:lineRule="auto"/>
      <w:ind w:left="720" w:leftChars="-1" w:rightChars="0" w:firstLineChars="-1"/>
      <w:contextualSpacing w:val="1"/>
      <w:textDirection w:val="btLr"/>
      <w:textAlignment w:val="top"/>
      <w:outlineLvl w:val="0"/>
    </w:pPr>
    <w:rPr>
      <w:rFonts w:ascii="Calibri" w:cs="Calibri" w:eastAsia="Times New Roman" w:hAnsi="Calibri"/>
      <w:w w:val="100"/>
      <w:kern w:val="28"/>
      <w:position w:val="-1"/>
      <w:sz w:val="22"/>
      <w:szCs w:val="22"/>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image" Target="media/image2.png"/><Relationship Id="rId18" Type="http://schemas.openxmlformats.org/officeDocument/2006/relationships/customXml" Target="../customXML/item5.xml"/><Relationship Id="rId3" Type="http://schemas.openxmlformats.org/officeDocument/2006/relationships/fontTable" Target="fontTable.xml"/><Relationship Id="rId12" Type="http://schemas.openxmlformats.org/officeDocument/2006/relationships/footer" Target="footer2.xml"/><Relationship Id="rId7" Type="http://schemas.openxmlformats.org/officeDocument/2006/relationships/image" Target="media/image1.png"/><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XRQBv4DN1GpLNiKh36ghmz3fg==">AMUW2mWwOFxsWV3mzFSR2Dw5n5ljdXCGDeiNN7HUC9gTU4VviT9/EJhsW5BWCFL7ZK9oh9oAwHuj83FxoTEVNseQ9j18Ok2O+0xD68JhhYxVHlhjmRGEPi+VxDwVVrK/rKYR6viRHeHX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HYZDXXRYQ5Y4-223069029-18963</_dlc_DocId>
    <_dlc_DocIdUrl xmlns="5edbb907-cb20-437c-acf6-4b6721bfb2fa">
      <Url>https://epicenterorg.sharepoint.com/sites/EDoTDocs/BDWorking/_layouts/15/DocIdRedir.aspx?ID=HYZDXXRYQ5Y4-223069029-18963</Url>
      <Description>HYZDXXRYQ5Y4-223069029-18963</Description>
    </_dlc_DocIdUrl>
    <TaxCatchAll xmlns="5edbb907-cb20-437c-acf6-4b6721bfb2fa" xsi:nil="true"/>
    <lcf76f155ced4ddcb4097134ff3c332f xmlns="5acfb6d8-951e-47bb-9c0d-b96add1fb5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1F7F71C-17DE-4BC2-9EBC-1FC4863AD6AC}"/>
</file>

<file path=customXML/itemProps3.xml><?xml version="1.0" encoding="utf-8"?>
<ds:datastoreItem xmlns:ds="http://schemas.openxmlformats.org/officeDocument/2006/customXml" ds:itemID="{89B1B9C2-CC0A-4BA0-8BA9-50CB9F5A8EA7}"/>
</file>

<file path=customXML/itemProps4.xml><?xml version="1.0" encoding="utf-8"?>
<ds:datastoreItem xmlns:ds="http://schemas.openxmlformats.org/officeDocument/2006/customXml" ds:itemID="{E2FBB72C-9FC8-466B-A651-5957D59277E7}"/>
</file>

<file path=customXML/itemProps5.xml><?xml version="1.0" encoding="utf-8"?>
<ds:datastoreItem xmlns:ds="http://schemas.openxmlformats.org/officeDocument/2006/customXml" ds:itemID="{79210F5A-ABA3-46F3-A001-62B1FE270EB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Todd</dc:creator>
  <dcterms:created xsi:type="dcterms:W3CDTF">2021-12-06T14:01:00Z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0x0101007F1F884C0E6B1C4D9D4ED6DAC94B15C5</vt:lpwstr>
  </property>
  <property fmtid="{D5CDD505-2E9C-101B-9397-08002B2CF9AE}" pid="3" name="_dlc_DocId">
    <vt:lpstr>HYZDXXRYQ5Y4-223069029-16858</vt:lpstr>
  </property>
  <property fmtid="{D5CDD505-2E9C-101B-9397-08002B2CF9AE}" pid="4" name="_dlc_DocIdItemGuid">
    <vt:lpwstr>73bf9be7-d940-4994-a35e-bca8bd8b68d9</vt:lpwstr>
  </property>
  <property fmtid="{D5CDD505-2E9C-101B-9397-08002B2CF9AE}" pid="5" name="_dlc_DocIdUrl">
    <vt:lpstr>https://epicenterorg.sharepoint.com/sites/EDoTDocs/BDWorking/_layouts/15/DocIdRedir.aspx?ID=HYZDXXRYQ5Y4-223069029-16858, HYZDXXRYQ5Y4-223069029-16858</vt:lpstr>
  </property>
</Properties>
</file>