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C8CF" w14:textId="4CAE06D8" w:rsidR="003B031A" w:rsidRPr="003B031A" w:rsidRDefault="003B031A" w:rsidP="003B031A">
      <w:pPr>
        <w:rPr>
          <w:rFonts w:ascii="Arial" w:hAnsi="Arial" w:cs="Arial"/>
          <w:bCs/>
          <w:sz w:val="24"/>
          <w:szCs w:val="24"/>
        </w:rPr>
      </w:pPr>
      <w:r w:rsidRPr="003B031A">
        <w:rPr>
          <w:rFonts w:ascii="Arial" w:hAnsi="Arial" w:cs="Arial"/>
          <w:bCs/>
          <w:sz w:val="24"/>
          <w:szCs w:val="24"/>
        </w:rPr>
        <w:t>Iona School for Ministry</w:t>
      </w:r>
    </w:p>
    <w:p w14:paraId="5065B7F6" w14:textId="06882FF5" w:rsidR="003B031A" w:rsidRPr="003B031A" w:rsidRDefault="003B031A" w:rsidP="003B031A">
      <w:pPr>
        <w:rPr>
          <w:rFonts w:ascii="Arial" w:hAnsi="Arial" w:cs="Arial"/>
          <w:bCs/>
          <w:sz w:val="24"/>
          <w:szCs w:val="24"/>
          <w:u w:val="single"/>
        </w:rPr>
      </w:pPr>
      <w:r w:rsidRPr="003B031A">
        <w:rPr>
          <w:rFonts w:ascii="Arial" w:hAnsi="Arial" w:cs="Arial"/>
          <w:bCs/>
          <w:sz w:val="24"/>
          <w:szCs w:val="24"/>
        </w:rPr>
        <w:t>Old Testament: Criticism, Sources, Historical and Cultural Background</w:t>
      </w:r>
    </w:p>
    <w:p w14:paraId="209BD207" w14:textId="72EE9798" w:rsidR="003B031A" w:rsidRPr="003B031A" w:rsidRDefault="003B031A" w:rsidP="003B031A">
      <w:pPr>
        <w:rPr>
          <w:rFonts w:ascii="Arial" w:hAnsi="Arial" w:cs="Arial"/>
          <w:bCs/>
        </w:rPr>
      </w:pPr>
      <w:r w:rsidRPr="003B031A">
        <w:rPr>
          <w:rFonts w:ascii="Arial" w:hAnsi="Arial" w:cs="Arial"/>
          <w:bCs/>
        </w:rPr>
        <w:t>September 1</w:t>
      </w:r>
      <w:r w:rsidR="00D65853">
        <w:rPr>
          <w:rFonts w:ascii="Arial" w:hAnsi="Arial" w:cs="Arial"/>
          <w:bCs/>
        </w:rPr>
        <w:t>0</w:t>
      </w:r>
      <w:r w:rsidRPr="003B031A">
        <w:rPr>
          <w:rFonts w:ascii="Arial" w:hAnsi="Arial" w:cs="Arial"/>
          <w:bCs/>
        </w:rPr>
        <w:t>, 202</w:t>
      </w:r>
      <w:r w:rsidR="00D65853">
        <w:rPr>
          <w:rFonts w:ascii="Arial" w:hAnsi="Arial" w:cs="Arial"/>
          <w:bCs/>
        </w:rPr>
        <w:t>2</w:t>
      </w:r>
    </w:p>
    <w:p w14:paraId="59BB008A" w14:textId="79171498" w:rsidR="003B031A" w:rsidRDefault="003B031A" w:rsidP="003B031A">
      <w:pPr>
        <w:rPr>
          <w:rFonts w:asciiTheme="minorBidi" w:hAnsiTheme="minorBidi"/>
          <w:sz w:val="24"/>
          <w:szCs w:val="24"/>
        </w:rPr>
      </w:pPr>
    </w:p>
    <w:p w14:paraId="057DFCE4" w14:textId="1EFD0CDA" w:rsidR="003B031A" w:rsidRPr="003B031A" w:rsidRDefault="003B031A" w:rsidP="003B031A">
      <w:pPr>
        <w:rPr>
          <w:rFonts w:asciiTheme="minorBidi" w:hAnsiTheme="minorBidi"/>
          <w:b/>
          <w:bCs/>
          <w:sz w:val="24"/>
          <w:szCs w:val="24"/>
        </w:rPr>
      </w:pPr>
      <w:r w:rsidRPr="003B031A">
        <w:rPr>
          <w:rFonts w:asciiTheme="minorBidi" w:hAnsiTheme="minorBidi"/>
          <w:b/>
          <w:bCs/>
          <w:sz w:val="24"/>
          <w:szCs w:val="24"/>
        </w:rPr>
        <w:t>Summary of “What you need to know…”</w:t>
      </w:r>
    </w:p>
    <w:p w14:paraId="4474E1C1" w14:textId="77777777" w:rsidR="003B031A" w:rsidRDefault="003B031A" w:rsidP="003B031A">
      <w:pPr>
        <w:rPr>
          <w:rFonts w:asciiTheme="minorBidi" w:hAnsiTheme="minorBidi"/>
          <w:sz w:val="24"/>
          <w:szCs w:val="24"/>
        </w:rPr>
      </w:pPr>
    </w:p>
    <w:p w14:paraId="55AC55C7" w14:textId="238BD4AC" w:rsidR="003B031A" w:rsidRPr="003B031A" w:rsidRDefault="003B031A" w:rsidP="003B031A">
      <w:p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>Session 1</w:t>
      </w:r>
    </w:p>
    <w:p w14:paraId="1D1CB57E" w14:textId="6CE2D904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>Ways in which the canons generally differ, with an example</w:t>
      </w:r>
    </w:p>
    <w:p w14:paraId="716B51E7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>How the canons compare in terms of overall content</w:t>
      </w:r>
    </w:p>
    <w:p w14:paraId="3F948777" w14:textId="1651A788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>The names of, languages of</w:t>
      </w:r>
      <w:r w:rsidR="00B04FE4">
        <w:rPr>
          <w:rFonts w:asciiTheme="minorBidi" w:hAnsiTheme="minorBidi"/>
          <w:sz w:val="24"/>
          <w:szCs w:val="24"/>
        </w:rPr>
        <w:t>,</w:t>
      </w:r>
      <w:r w:rsidRPr="003B031A">
        <w:rPr>
          <w:rFonts w:asciiTheme="minorBidi" w:hAnsiTheme="minorBidi"/>
          <w:sz w:val="24"/>
          <w:szCs w:val="24"/>
        </w:rPr>
        <w:t xml:space="preserve"> and signs for the six important ancient</w:t>
      </w:r>
      <w:r>
        <w:rPr>
          <w:rFonts w:asciiTheme="minorBidi" w:hAnsiTheme="minorBidi"/>
          <w:sz w:val="24"/>
          <w:szCs w:val="24"/>
        </w:rPr>
        <w:t xml:space="preserve"> </w:t>
      </w:r>
      <w:r w:rsidRPr="003B031A">
        <w:rPr>
          <w:rFonts w:asciiTheme="minorBidi" w:hAnsiTheme="minorBidi"/>
          <w:sz w:val="24"/>
          <w:szCs w:val="24"/>
        </w:rPr>
        <w:t>versions</w:t>
      </w:r>
    </w:p>
    <w:p w14:paraId="401DBF17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>How English translations differ</w:t>
      </w:r>
    </w:p>
    <w:p w14:paraId="5038AD8C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>How to use translators’ notes on textual and translation problems</w:t>
      </w:r>
    </w:p>
    <w:p w14:paraId="45806E29" w14:textId="100C6FF6" w:rsidR="00AC3220" w:rsidRPr="003B031A" w:rsidRDefault="00AC3220">
      <w:pPr>
        <w:rPr>
          <w:rFonts w:asciiTheme="minorBidi" w:hAnsiTheme="minorBidi"/>
          <w:sz w:val="24"/>
          <w:szCs w:val="24"/>
        </w:rPr>
      </w:pPr>
    </w:p>
    <w:p w14:paraId="482FDF6C" w14:textId="773263E3" w:rsidR="003B031A" w:rsidRPr="003B031A" w:rsidRDefault="003B031A">
      <w:p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>Session 2</w:t>
      </w:r>
    </w:p>
    <w:p w14:paraId="56DE859B" w14:textId="179AC5EE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 xml:space="preserve">The location and main </w:t>
      </w:r>
      <w:r w:rsidR="00B04FE4">
        <w:rPr>
          <w:rFonts w:asciiTheme="minorBidi" w:hAnsiTheme="minorBidi"/>
          <w:sz w:val="24"/>
          <w:szCs w:val="24"/>
        </w:rPr>
        <w:t xml:space="preserve">geographical </w:t>
      </w:r>
      <w:r w:rsidRPr="003B031A">
        <w:rPr>
          <w:rFonts w:asciiTheme="minorBidi" w:hAnsiTheme="minorBidi"/>
          <w:sz w:val="24"/>
          <w:szCs w:val="24"/>
        </w:rPr>
        <w:t>features of the Fertile Crescent</w:t>
      </w:r>
    </w:p>
    <w:p w14:paraId="31B8746F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>The five geographical regions of the Holy Land</w:t>
      </w:r>
    </w:p>
    <w:p w14:paraId="2A9281EC" w14:textId="24EECEB5" w:rsidR="003B031A" w:rsidRPr="003B031A" w:rsidRDefault="003B031A">
      <w:pPr>
        <w:rPr>
          <w:rFonts w:asciiTheme="minorBidi" w:hAnsiTheme="minorBidi"/>
          <w:sz w:val="24"/>
          <w:szCs w:val="24"/>
        </w:rPr>
      </w:pPr>
    </w:p>
    <w:p w14:paraId="787CCBFE" w14:textId="5CF3D4D9" w:rsidR="003B031A" w:rsidRPr="003B031A" w:rsidRDefault="003B031A">
      <w:p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>Session 3</w:t>
      </w:r>
    </w:p>
    <w:p w14:paraId="4A60A048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>The significance of the Merneptah Stele for Israel’s origins</w:t>
      </w:r>
    </w:p>
    <w:p w14:paraId="77F1BAC7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>The three major types of theories about Israel’s formation and occupation of Canaan</w:t>
      </w:r>
    </w:p>
    <w:p w14:paraId="0F974F38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>Israel’s ancestors worshipped the god El prior to Israel’s identification with YHWH</w:t>
      </w:r>
    </w:p>
    <w:p w14:paraId="3AC6D29D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>During the national period the gods Baal and Asherah were commonly worshipped</w:t>
      </w:r>
    </w:p>
    <w:p w14:paraId="788A9E82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ab/>
        <w:t xml:space="preserve"> along with YHWH</w:t>
      </w:r>
    </w:p>
    <w:p w14:paraId="78EFDA62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>Because the pronunciation of the divine name is uncertain, most English translations</w:t>
      </w:r>
    </w:p>
    <w:p w14:paraId="2499D6DE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ab/>
        <w:t xml:space="preserve"> render it LORD (in all caps)</w:t>
      </w:r>
    </w:p>
    <w:p w14:paraId="3CD4C077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>The three major periods of biblical history, the turning points from each period to the</w:t>
      </w:r>
    </w:p>
    <w:p w14:paraId="48E86973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ab/>
        <w:t xml:space="preserve"> next, and how they differ from one another in terms of socio-political form and</w:t>
      </w:r>
    </w:p>
    <w:p w14:paraId="172240EA" w14:textId="77777777" w:rsidR="003B031A" w:rsidRPr="003B031A" w:rsidRDefault="003B031A" w:rsidP="003B031A">
      <w:pPr>
        <w:rPr>
          <w:rFonts w:asciiTheme="minorBidi" w:hAnsiTheme="minorBidi"/>
          <w:sz w:val="24"/>
          <w:szCs w:val="24"/>
        </w:rPr>
      </w:pPr>
      <w:r w:rsidRPr="003B031A">
        <w:rPr>
          <w:rFonts w:asciiTheme="minorBidi" w:hAnsiTheme="minorBidi"/>
          <w:sz w:val="24"/>
          <w:szCs w:val="24"/>
        </w:rPr>
        <w:tab/>
        <w:t xml:space="preserve"> religion</w:t>
      </w:r>
    </w:p>
    <w:p w14:paraId="424AE89E" w14:textId="77777777" w:rsidR="003B031A" w:rsidRDefault="003B031A"/>
    <w:sectPr w:rsidR="003B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1A"/>
    <w:rsid w:val="003B031A"/>
    <w:rsid w:val="00AC3220"/>
    <w:rsid w:val="00B04FE4"/>
    <w:rsid w:val="00D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734D"/>
  <w15:chartTrackingRefBased/>
  <w15:docId w15:val="{2922F9C0-961F-4301-85A7-E92D2B01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B69E0-B25C-4568-BF80-460BBC2058F9}"/>
</file>

<file path=customXml/itemProps2.xml><?xml version="1.0" encoding="utf-8"?>
<ds:datastoreItem xmlns:ds="http://schemas.openxmlformats.org/officeDocument/2006/customXml" ds:itemID="{C2B8F3DD-5A05-4A88-9F33-32F60F8E1760}"/>
</file>

<file path=customXml/itemProps3.xml><?xml version="1.0" encoding="utf-8"?>
<ds:datastoreItem xmlns:ds="http://schemas.openxmlformats.org/officeDocument/2006/customXml" ds:itemID="{90EE64A7-8509-46B7-A9CD-33F83714E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cp:lastPrinted>2021-09-10T02:19:00Z</cp:lastPrinted>
  <dcterms:created xsi:type="dcterms:W3CDTF">2021-08-15T21:31:00Z</dcterms:created>
  <dcterms:modified xsi:type="dcterms:W3CDTF">2022-07-26T18:03:00Z</dcterms:modified>
</cp:coreProperties>
</file>